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contextualSpacing w:val="0"/>
        <w:ind w:firstLine="540"/>
        <w:jc w:val="center"/>
        <w:spacing w:before="57"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МЕТОДИКА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contextualSpacing w:val="0"/>
        <w:ind w:firstLine="540"/>
        <w:jc w:val="center"/>
        <w:spacing w:before="57" w:after="0" w:line="283" w:lineRule="atLeast"/>
        <w:rPr>
          <w:rFonts w:ascii="Times New Roman" w:hAnsi="Times New Roman" w:cs="Times New Roman"/>
          <w:b/>
          <w:bCs/>
          <w:sz w:val="28"/>
          <w:szCs w:val="28"/>
        </w:rPr>
        <w:suppressLineNumbers w:val="0"/>
      </w:pP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РАСЧЕТА НОРМАТИВОВ ДЛЯ ОПРЕДЕЛЕНИЯ ОБЩЕГО ОБЪЕМА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СУБВЕНЦИЙ,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ПРЕДОСТАВЛЯЕМЫХ МЕСТНЫМ БЮДЖЕТАМ ИЗ ОБЛАСТНОГО БЮДЖЕТА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НОВОСИБИРСКОЙ ОБЛАСТИ ДЛЯ ОСУЩЕСТВЛЕНИЯ ОРГАНАМИ МЕСТНОГО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САМОУПРАВЛЕНИЯ ОТДЕЛЬНЫХ ГОСУДАРСТВЕННЫХ ПОЛНОМОЧИЙ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Н</w:t>
      </w:r>
      <w:r>
        <w:rPr>
          <w:rFonts w:ascii="Times New Roman" w:hAnsi="Times New Roman" w:cs="Times New Roman"/>
          <w:bCs/>
          <w:sz w:val="28"/>
          <w:szCs w:val="28"/>
        </w:rPr>
        <w:t xml:space="preserve">астоящая Методика устанавливает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Новосибирской области отдель</w:t>
      </w:r>
      <w:r>
        <w:rPr>
          <w:rFonts w:ascii="Times New Roman" w:hAnsi="Times New Roman" w:cs="Times New Roman"/>
          <w:bCs/>
          <w:sz w:val="28"/>
          <w:szCs w:val="28"/>
        </w:rPr>
        <w:t xml:space="preserve">ных государственных полномочий, и распределения указанных субвенций между муниципальными образованиями Новосибирской области (далее - муниципальное образование) в соответствии со статьей 140 Бюджетного кодекса Российской Федерации.</w:t>
      </w:r>
      <w:r/>
    </w:p>
    <w:p>
      <w:pPr>
        <w:ind w:firstLine="540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Общий объем субвенций (Соб), предоставляемых муниципальным образованиям, определяется по формуле:</w:t>
      </w:r>
      <w:r>
        <w:rPr>
          <w:rFonts w:ascii="Times New Roman" w:hAnsi="Times New Roman" w:cs="Times New Roman"/>
          <w:bCs/>
          <w:sz w:val="28"/>
          <w:szCs w:val="28"/>
        </w:rPr>
      </w:r>
      <w:r/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C</w:t>
      </w:r>
      <w:r>
        <w:rPr>
          <w:rFonts w:ascii="Times New Roman" w:hAnsi="Times New Roman" w:cs="Times New Roman"/>
          <w:bCs/>
          <w:sz w:val="28"/>
          <w:szCs w:val="28"/>
          <w:highlight w:val="none"/>
          <w:vertAlign w:val="baseline"/>
        </w:rPr>
        <w:t xml:space="preserve">об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 = </w:t>
      </w:r>
      <m:oMath>
        <m:nary>
          <m:naryPr>
            <m:chr m:val="∑"/>
            <m:grow m:val="off"/>
            <m:limLoc m:val="undOvr"/>
            <m:ctrlPr>
              <w:rPr>
                <w:rFonts w:hint="default" w:ascii="Cambria Math" w:hAnsi="Cambria Math" w:eastAsia="Cambria Math" w:cs="Cambria Math"/>
                <w:bCs/>
                <w:i/>
                <w:sz w:val="28"/>
                <w:szCs w:val="28"/>
                <w:highlight w:val="none"/>
              </w:rPr>
            </m:ctrlPr>
          </m:naryPr>
          <m:sub>
            <m:r>
              <w:rPr>
                <w:rFonts w:ascii="Cambria Math" w:hAnsi="Cambria Math" w:eastAsia="Cambria Math" w:cs="Cambria Math"/>
              </w:rPr>
              <m:rPr/>
              <m:t>i</m:t>
            </m:r>
            <m:r>
              <w:rPr>
                <w:rFonts w:ascii="Cambria Math" w:hAnsi="Cambria Math" w:eastAsia="Cambria Math" w:cs="Cambria Math"/>
              </w:rPr>
              <m:rPr/>
              <m:t>=1</m:t>
            </m:r>
          </m:sub>
          <m:sup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n</m:t>
            </m:r>
          </m:sup>
          <m:e>
            <m:r>
              <w:rPr>
                <w:rFonts w:hint="default" w:ascii="Cambria Math" w:hAnsi="Cambria Math" w:eastAsia="Cambria Math" w:cs="Cambria Math"/>
                <w:sz w:val="28"/>
                <w:szCs w:val="28"/>
                <w:highlight w:val="none"/>
              </w:rPr>
              <m:rPr>
                <m:sty m:val="i"/>
              </m:rPr>
              <m:t>C</m:t>
            </m:r>
          </m:e>
        </m:nary>
      </m:oMath>
      <w:r>
        <w:rPr>
          <w:rFonts w:ascii="Times New Roman" w:hAnsi="Times New Roman" w:cs="Times New Roman"/>
          <w:bCs/>
          <w:sz w:val="28"/>
          <w:szCs w:val="28"/>
          <w:highlight w:val="none"/>
        </w:rPr>
        <w:t xml:space="preserve">oбi, где:</w:t>
      </w:r>
      <w:r>
        <w:rPr>
          <w:rFonts w:ascii="Times New Roman" w:hAnsi="Times New Roman" w:cs="Times New Roman"/>
          <w:bCs/>
          <w:sz w:val="28"/>
          <w:szCs w:val="28"/>
          <w:highlight w:val="none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position w:val="-18"/>
          <w:sz w:val="28"/>
          <w:szCs w:val="28"/>
          <w:lang w:eastAsia="ru-RU"/>
        </w:rPr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position w:val="-18"/>
          <w:sz w:val="28"/>
          <w:szCs w:val="28"/>
          <w:lang w:eastAsia="ru-RU"/>
        </w:rPr>
      </w:r>
      <w:r/>
    </w:p>
    <w:p>
      <w:pPr>
        <w:ind w:firstLine="540"/>
        <w:jc w:val="both"/>
        <w:spacing w:before="280"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position w:val="-18"/>
          <w:sz w:val="28"/>
          <w:szCs w:val="28"/>
          <w:lang w:eastAsia="ru-RU"/>
        </w:rPr>
      </w:r>
      <w:r>
        <w:rPr>
          <w:rFonts w:ascii="Times New Roman" w:hAnsi="Times New Roman" w:cs="Times New Roman"/>
          <w:bCs/>
          <w:sz w:val="28"/>
          <w:szCs w:val="28"/>
        </w:rPr>
        <w:t xml:space="preserve">i - муниципальное образование;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n - количество муниципальных образований.</w:t>
      </w:r>
      <w:r/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Собi - объем субвенций, предоставляемых i-му муниципальному образованию, рассчитывается по формуле:</w:t>
      </w:r>
      <w:r/>
    </w:p>
    <w:p>
      <w:pPr>
        <w:ind w:firstLine="708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Собi = Роб x Чобi + Рпр x Чпрi, где:</w:t>
      </w:r>
      <w:r/>
    </w:p>
    <w:p>
      <w:pPr>
        <w:ind w:firstLine="708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</w:t>
      </w:r>
      <w:r>
        <w:rPr>
          <w:rFonts w:ascii="Times New Roman" w:hAnsi="Times New Roman" w:cs="Times New Roman"/>
          <w:bCs/>
          <w:sz w:val="28"/>
          <w:szCs w:val="28"/>
        </w:rPr>
        <w:t xml:space="preserve">об - размер единовременной денежной выплаты на обеспечение условий доступности для инвалида жилого помещения (далее - единовременная денежная выплата), предоставляемой на цели, указанные в пункте 1 части 2 статьи 2 Закона Новосибирской области "О единоврем</w:t>
      </w:r>
      <w:r>
        <w:rPr>
          <w:rFonts w:ascii="Times New Roman" w:hAnsi="Times New Roman" w:cs="Times New Roman"/>
          <w:bCs/>
          <w:sz w:val="28"/>
          <w:szCs w:val="28"/>
        </w:rPr>
        <w:t xml:space="preserve">енной денежной выплате на обеспечение условий доступности для инвалида жилого помещения" (далее - Закон Новосибирской области о единовременной денежной выплате);</w:t>
      </w:r>
      <w:r/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Ч</w:t>
      </w:r>
      <w:r>
        <w:rPr>
          <w:rFonts w:ascii="Times New Roman" w:hAnsi="Times New Roman" w:cs="Times New Roman"/>
          <w:bCs/>
          <w:sz w:val="28"/>
          <w:szCs w:val="28"/>
        </w:rPr>
        <w:t xml:space="preserve">обi - прогнозируемое муниципальным образованием в расчетный период количество получателей единовременной денежной выплаты, предоставляемой на цели, указанные в пункте 1 части 2 статьи 2 Закона Новосибирской области о единовременной денежной выплате, в i-ом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 образовании;</w:t>
      </w:r>
      <w:r/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Рпр - размер единовременной денежной выплаты, предоставляемой на цели, указанные в пункте 2 части 2 статьи 2 Закона Новосибирской области о единовременной денежной выплате;</w:t>
      </w:r>
      <w:r/>
    </w:p>
    <w:p>
      <w:pPr>
        <w:ind w:firstLine="540"/>
        <w:jc w:val="both"/>
        <w:spacing w:before="280" w:after="0" w:line="240" w:lineRule="auto"/>
      </w:pPr>
      <w:r>
        <w:rPr>
          <w:rFonts w:ascii="Times New Roman" w:hAnsi="Times New Roman" w:cs="Times New Roman"/>
          <w:bCs/>
          <w:sz w:val="28"/>
          <w:szCs w:val="28"/>
        </w:rPr>
        <w:t xml:space="preserve">Ч</w:t>
      </w:r>
      <w:r>
        <w:rPr>
          <w:rFonts w:ascii="Times New Roman" w:hAnsi="Times New Roman" w:cs="Times New Roman"/>
          <w:bCs/>
          <w:sz w:val="28"/>
          <w:szCs w:val="28"/>
        </w:rPr>
        <w:t xml:space="preserve">прi - прогнозируемое муниципальным образованием в расчетный период количество получателей единовременной денежной выплаты, предоставляемой на цели, указанные в пункте 2 части 2 статьи 2 Закона Новосибирской области о единовременной денежной выплате, в i-ом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муниципальном образовании.</w:t>
      </w:r>
      <w:r/>
    </w:p>
    <w:p>
      <w:pPr>
        <w:ind w:firstLine="540"/>
        <w:jc w:val="both"/>
        <w:spacing w:before="280"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Роб и Рпр установлены Законом Новосибирской области о единовременной денежной выплате.</w:t>
      </w:r>
      <w:r>
        <w:rPr>
          <w:rFonts w:ascii="Times New Roman" w:hAnsi="Times New Roman" w:cs="Times New Roman"/>
          <w:bCs/>
          <w:sz w:val="28"/>
          <w:szCs w:val="28"/>
        </w:rPr>
      </w:r>
      <w:r>
        <w:rPr>
          <w:rFonts w:ascii="Times New Roman" w:hAnsi="Times New Roman" w:cs="Times New Roman"/>
          <w:bCs/>
          <w:sz w:val="28"/>
          <w:szCs w:val="28"/>
        </w:rPr>
      </w:r>
    </w:p>
    <w:p>
      <w:r/>
      <w:r/>
    </w:p>
    <w:p>
      <w:r/>
      <w:r/>
    </w:p>
    <w:p>
      <w:r/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Перв</w:t>
      </w:r>
      <w:r>
        <w:rPr>
          <w:rFonts w:ascii="Times New Roman" w:hAnsi="Times New Roman" w:cs="Times New Roman"/>
          <w:sz w:val="28"/>
          <w:szCs w:val="28"/>
        </w:rPr>
        <w:t xml:space="preserve">ый заместитель министра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r/>
      <w:bookmarkEnd w:id="0"/>
      <w:r>
        <w:rPr>
          <w:rFonts w:ascii="Times New Roman" w:hAnsi="Times New Roman" w:cs="Times New Roman"/>
          <w:sz w:val="28"/>
          <w:szCs w:val="28"/>
        </w:rPr>
        <w:t xml:space="preserve">                  Е.М. Москалева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r/>
      <w:r/>
    </w:p>
    <w:sectPr>
      <w:footnotePr/>
      <w:endnotePr/>
      <w:type w:val="nextPage"/>
      <w:pgSz w:w="11905" w:h="16838" w:orient="portrait"/>
      <w:pgMar w:top="1134" w:right="567" w:bottom="1134" w:left="1418" w:header="0" w:footer="0" w:gutter="0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3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3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3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3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3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3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3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3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3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basedOn w:val="833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basedOn w:val="833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basedOn w:val="833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basedOn w:val="833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basedOn w:val="83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basedOn w:val="83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basedOn w:val="83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8">
    <w:name w:val="List Table 7 Colorful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9">
    <w:name w:val="List Table 7 Colorful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90">
    <w:name w:val="List Table 7 Colorful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91">
    <w:name w:val="List Table 7 Colorful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2">
    <w:name w:val="List Table 7 Colorful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3">
    <w:name w:val="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5">
    <w:name w:val="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6">
    <w:name w:val="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7">
    <w:name w:val="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8">
    <w:name w:val="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9">
    <w:name w:val="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0">
    <w:name w:val="Bordered &amp; Lined - Accent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2">
    <w:name w:val="Bordered &amp; Lined - Accent 2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3">
    <w:name w:val="Bordered &amp; Lined - Accent 3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4">
    <w:name w:val="Bordered &amp; Lined - Accent 4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5">
    <w:name w:val="Bordered &amp; Lined - Accent 5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6">
    <w:name w:val="Bordered &amp; Lined - Accent 6"/>
    <w:basedOn w:val="83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7">
    <w:name w:val="Bordered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basedOn w:val="83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basedOn w:val="833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basedOn w:val="833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2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3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4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5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6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7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8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9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qFormat/>
  </w:style>
  <w:style w:type="character" w:styleId="833" w:default="1">
    <w:name w:val="Default Paragraph Font"/>
    <w:uiPriority w:val="1"/>
    <w:semiHidden/>
    <w:unhideWhenUsed/>
  </w:style>
  <w:style w:type="table" w:styleId="83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5" w:default="1">
    <w:name w:val="No List"/>
    <w:uiPriority w:val="99"/>
    <w:semiHidden/>
    <w:unhideWhenUsed/>
  </w:style>
  <w:style w:type="paragraph" w:styleId="836">
    <w:name w:val="Balloon Text"/>
    <w:basedOn w:val="832"/>
    <w:link w:val="83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7" w:customStyle="1">
    <w:name w:val="Текст выноски Знак"/>
    <w:basedOn w:val="833"/>
    <w:link w:val="836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Борцова Юлия Михайловна</dc:creator>
  <cp:keywords/>
  <dc:description/>
  <cp:revision>4</cp:revision>
  <dcterms:created xsi:type="dcterms:W3CDTF">2024-10-18T03:13:00Z</dcterms:created>
  <dcterms:modified xsi:type="dcterms:W3CDTF">2025-10-17T05:57:23Z</dcterms:modified>
</cp:coreProperties>
</file>